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1"/>
        <w:tabs>
          <w:tab w:val="right" w:pos="9639"/>
          <w:tab w:val="right" w:pos="13323"/>
        </w:tabs>
        <w:spacing w:after="0"/>
        <w:rPr>
          <w:rFonts w:hint="eastAsia" w:eastAsia="宋体" w:cs="Arial"/>
          <w:b/>
          <w:sz w:val="24"/>
          <w:szCs w:val="24"/>
          <w:lang w:eastAsia="zh-CN"/>
        </w:rPr>
      </w:pPr>
      <w:r>
        <w:rPr>
          <w:rFonts w:cs="Arial"/>
          <w:b/>
          <w:bCs/>
          <w:sz w:val="24"/>
          <w:szCs w:val="24"/>
        </w:rPr>
        <w:t>3GPP TSG-RAN WG3 Meeting #119</w:t>
      </w:r>
      <w:r>
        <w:rPr>
          <w:rFonts w:hint="eastAsia" w:eastAsia="宋体" w:cs="Arial"/>
          <w:b/>
          <w:bCs/>
          <w:sz w:val="24"/>
          <w:szCs w:val="24"/>
          <w:lang w:val="en-US" w:eastAsia="zh-CN"/>
        </w:rPr>
        <w:t>bis-e</w:t>
      </w:r>
      <w:r>
        <w:rPr>
          <w:rFonts w:cs="Arial"/>
          <w:b/>
          <w:sz w:val="24"/>
          <w:szCs w:val="24"/>
        </w:rPr>
        <w:tab/>
      </w:r>
      <w:r>
        <w:rPr>
          <w:rFonts w:hint="eastAsia"/>
          <w:b/>
          <w:i/>
          <w:sz w:val="28"/>
        </w:rPr>
        <w:t>R3-23</w:t>
      </w:r>
      <w:r>
        <w:rPr>
          <w:rFonts w:hint="eastAsia" w:eastAsia="宋体"/>
          <w:b/>
          <w:i/>
          <w:sz w:val="28"/>
          <w:lang w:val="en-US" w:eastAsia="zh-CN"/>
        </w:rPr>
        <w:t>1831</w:t>
      </w:r>
    </w:p>
    <w:p>
      <w:pPr>
        <w:pStyle w:val="51"/>
        <w:tabs>
          <w:tab w:val="right" w:pos="9639"/>
          <w:tab w:val="right" w:pos="13323"/>
        </w:tabs>
        <w:spacing w:after="0"/>
        <w:rPr>
          <w:rFonts w:cs="Arial"/>
          <w:b/>
          <w:sz w:val="24"/>
          <w:szCs w:val="24"/>
        </w:rPr>
      </w:pPr>
      <w:r>
        <w:rPr>
          <w:rFonts w:hint="eastAsia" w:cs="Arial"/>
          <w:b/>
          <w:sz w:val="24"/>
          <w:szCs w:val="24"/>
        </w:rPr>
        <w:t>Online, 17 April – 26 April 2023</w:t>
      </w:r>
    </w:p>
    <w:p>
      <w:pPr>
        <w:pStyle w:val="15"/>
        <w:jc w:val="both"/>
        <w:rPr>
          <w:rFonts w:eastAsia="宋体"/>
          <w:b w:val="0"/>
          <w:i w:val="0"/>
          <w:sz w:val="24"/>
        </w:rPr>
      </w:pPr>
    </w:p>
    <w:p>
      <w:pPr>
        <w:tabs>
          <w:tab w:val="left" w:pos="1985"/>
        </w:tabs>
        <w:ind w:left="1980" w:hanging="1980"/>
        <w:rPr>
          <w:rStyle w:val="78"/>
        </w:rPr>
      </w:pPr>
      <w:r>
        <w:rPr>
          <w:b/>
          <w:sz w:val="24"/>
        </w:rPr>
        <w:t>Title:</w:t>
      </w:r>
      <w:r>
        <w:rPr>
          <w:sz w:val="24"/>
        </w:rPr>
        <w:t xml:space="preserve"> </w:t>
      </w:r>
      <w:r>
        <w:rPr>
          <w:sz w:val="24"/>
        </w:rPr>
        <w:tab/>
      </w:r>
      <w:r>
        <w:rPr>
          <w:rFonts w:hint="eastAsia"/>
          <w:sz w:val="24"/>
        </w:rPr>
        <w:t>Further discussion on assistance information when RAN overload</w:t>
      </w:r>
    </w:p>
    <w:p>
      <w:pPr>
        <w:tabs>
          <w:tab w:val="left" w:pos="1985"/>
        </w:tabs>
        <w:rPr>
          <w:rStyle w:val="78"/>
          <w:lang w:val="en-GB"/>
        </w:rPr>
      </w:pPr>
      <w:r>
        <w:rPr>
          <w:b/>
          <w:sz w:val="24"/>
        </w:rPr>
        <w:t xml:space="preserve">Source: </w:t>
      </w:r>
      <w:r>
        <w:rPr>
          <w:b/>
          <w:sz w:val="24"/>
        </w:rPr>
        <w:tab/>
      </w:r>
      <w:r>
        <w:rPr>
          <w:rFonts w:hint="eastAsia"/>
          <w:bCs/>
          <w:sz w:val="24"/>
        </w:rPr>
        <w:t>China Unicom</w:t>
      </w:r>
    </w:p>
    <w:p>
      <w:pPr>
        <w:tabs>
          <w:tab w:val="left" w:pos="1985"/>
        </w:tabs>
        <w:rPr>
          <w:rStyle w:val="78"/>
        </w:rPr>
      </w:pPr>
      <w:r>
        <w:rPr>
          <w:b/>
          <w:sz w:val="24"/>
        </w:rPr>
        <w:t>Agenda item:</w:t>
      </w:r>
      <w:r>
        <w:rPr>
          <w:sz w:val="24"/>
        </w:rPr>
        <w:tab/>
      </w:r>
      <w:r>
        <w:rPr>
          <w:rFonts w:hint="eastAsia"/>
          <w:sz w:val="24"/>
          <w:lang w:val="en-US"/>
        </w:rPr>
        <w:t>11</w:t>
      </w:r>
      <w:r>
        <w:rPr>
          <w:sz w:val="24"/>
        </w:rPr>
        <w:t>.</w:t>
      </w:r>
      <w:r>
        <w:rPr>
          <w:rFonts w:hint="eastAsia"/>
          <w:sz w:val="24"/>
          <w:lang w:val="en-US"/>
        </w:rPr>
        <w:t>4</w:t>
      </w:r>
    </w:p>
    <w:p>
      <w:pPr>
        <w:tabs>
          <w:tab w:val="left" w:pos="1985"/>
        </w:tabs>
        <w:ind w:left="1980" w:hanging="1980"/>
        <w:rPr>
          <w:rStyle w:val="78"/>
          <w:lang w:val="en-GB"/>
        </w:rPr>
      </w:pPr>
      <w:r>
        <w:rPr>
          <w:b/>
          <w:sz w:val="24"/>
        </w:rPr>
        <w:t>Document Type:</w:t>
      </w:r>
      <w:r>
        <w:rPr>
          <w:sz w:val="24"/>
        </w:rPr>
        <w:tab/>
      </w:r>
      <w:r>
        <w:rPr>
          <w:rFonts w:hint="eastAsia"/>
          <w:sz w:val="24"/>
        </w:rPr>
        <w:t>D</w:t>
      </w:r>
      <w:r>
        <w:rPr>
          <w:sz w:val="24"/>
        </w:rPr>
        <w:t>iscussion</w:t>
      </w:r>
    </w:p>
    <w:p>
      <w:pPr>
        <w:pStyle w:val="2"/>
        <w:rPr>
          <w:rFonts w:eastAsia="宋体"/>
        </w:rPr>
      </w:pPr>
      <w:r>
        <w:rPr>
          <w:rFonts w:eastAsia="宋体"/>
        </w:rPr>
        <w:t>Introduction</w:t>
      </w:r>
    </w:p>
    <w:p>
      <w:pPr>
        <w:pStyle w:val="43"/>
        <w:rPr>
          <w:rFonts w:ascii="Times New Roman" w:hAnsi="Times New Roman"/>
          <w:sz w:val="21"/>
          <w:szCs w:val="21"/>
          <w:lang w:val="en-GB"/>
        </w:rPr>
      </w:pPr>
      <w:r>
        <w:rPr>
          <w:rStyle w:val="44"/>
          <w:rFonts w:ascii="Times New Roman" w:hAnsi="Times New Roman" w:eastAsia="宋体"/>
          <w:sz w:val="21"/>
          <w:szCs w:val="21"/>
          <w:lang w:eastAsia="zh-CN"/>
        </w:rPr>
        <w:t>In RAN#96</w:t>
      </w:r>
      <w:r>
        <w:rPr>
          <w:rStyle w:val="44"/>
          <w:rFonts w:ascii="Times New Roman" w:hAnsi="Times New Roman"/>
          <w:sz w:val="21"/>
          <w:szCs w:val="21"/>
          <w:lang w:val="en-GB"/>
        </w:rPr>
        <w:t xml:space="preserve"> meeting, </w:t>
      </w:r>
      <w:r>
        <w:rPr>
          <w:rStyle w:val="44"/>
          <w:rFonts w:ascii="Times New Roman" w:hAnsi="Times New Roman" w:eastAsia="宋体"/>
          <w:sz w:val="21"/>
          <w:szCs w:val="21"/>
          <w:lang w:eastAsia="zh-CN"/>
        </w:rPr>
        <w:t xml:space="preserve">the WID of the R18 NR QoE enhancement </w:t>
      </w:r>
      <w:r>
        <w:rPr>
          <w:rStyle w:val="44"/>
          <w:rFonts w:ascii="Times New Roman" w:hAnsi="Times New Roman"/>
          <w:sz w:val="21"/>
          <w:szCs w:val="21"/>
          <w:lang w:val="en-GB"/>
        </w:rPr>
        <w:t>have been discussed</w:t>
      </w:r>
      <w:r>
        <w:rPr>
          <w:rStyle w:val="44"/>
          <w:rFonts w:ascii="Times New Roman" w:hAnsi="Times New Roman" w:eastAsia="宋体"/>
          <w:sz w:val="21"/>
          <w:szCs w:val="21"/>
          <w:lang w:eastAsia="zh-CN"/>
        </w:rPr>
        <w:t>, and it is approved to further discuss the  following R17 leftover issues in R18</w:t>
      </w:r>
      <w:r>
        <w:rPr>
          <w:rStyle w:val="44"/>
          <w:rFonts w:ascii="Times New Roman" w:hAnsi="Times New Roman"/>
          <w:sz w:val="21"/>
          <w:szCs w:val="21"/>
          <w:lang w:val="en-GB"/>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0"/>
                <w:numId w:val="5"/>
              </w:numPr>
              <w:spacing w:before="120" w:beforeLines="50" w:after="0"/>
              <w:rPr>
                <w:rFonts w:ascii="Times New Roman" w:hAnsi="Times New Roman"/>
                <w:bCs/>
                <w:sz w:val="21"/>
                <w:szCs w:val="21"/>
                <w:lang w:val="en-US"/>
              </w:rPr>
            </w:pPr>
            <w:r>
              <w:rPr>
                <w:rFonts w:ascii="Times New Roman" w:hAnsi="Times New Roman"/>
                <w:sz w:val="21"/>
                <w:szCs w:val="21"/>
              </w:rPr>
              <w:t>Left-over features</w:t>
            </w:r>
            <w:r>
              <w:rPr>
                <w:rFonts w:ascii="Times New Roman" w:hAnsi="Times New Roman"/>
                <w:sz w:val="21"/>
                <w:szCs w:val="21"/>
                <w:lang w:val="en-US"/>
              </w:rPr>
              <w:t xml:space="preserve"> from Rel-17, as well as the enhancements of existing features which are not included in Rel-17 normative phase, should be supported in Rel-18 if consensus on benefits are reached </w:t>
            </w:r>
            <w:r>
              <w:rPr>
                <w:rFonts w:ascii="Times New Roman" w:hAnsi="Times New Roman"/>
                <w:sz w:val="21"/>
                <w:szCs w:val="21"/>
              </w:rPr>
              <w:t>[</w:t>
            </w:r>
            <w:r>
              <w:rPr>
                <w:rFonts w:ascii="Times New Roman" w:hAnsi="Times New Roman"/>
                <w:sz w:val="21"/>
                <w:szCs w:val="21"/>
                <w:lang w:val="en-US"/>
              </w:rPr>
              <w:t>RAN3</w:t>
            </w:r>
            <w:r>
              <w:rPr>
                <w:rFonts w:ascii="Times New Roman" w:hAnsi="Times New Roman"/>
                <w:sz w:val="21"/>
                <w:szCs w:val="21"/>
              </w:rPr>
              <w:t>, RAN2].</w:t>
            </w:r>
          </w:p>
          <w:p>
            <w:pPr>
              <w:numPr>
                <w:ilvl w:val="0"/>
                <w:numId w:val="6"/>
              </w:numPr>
              <w:spacing w:after="0"/>
              <w:rPr>
                <w:rFonts w:ascii="Times New Roman" w:hAnsi="Times New Roman"/>
                <w:color w:val="00B050"/>
                <w:sz w:val="21"/>
                <w:szCs w:val="21"/>
                <w:lang w:eastAsia="en-US"/>
              </w:rPr>
            </w:pPr>
            <w:r>
              <w:rPr>
                <w:rFonts w:ascii="Times New Roman" w:hAnsi="Times New Roman"/>
                <w:bCs/>
                <w:sz w:val="21"/>
                <w:szCs w:val="21"/>
                <w:lang w:val="en-US"/>
              </w:rPr>
              <w:t xml:space="preserve">Specify QoE reporting handling enhancement for </w:t>
            </w:r>
            <w:r>
              <w:rPr>
                <w:rFonts w:ascii="Times New Roman" w:hAnsi="Times New Roman"/>
                <w:bCs/>
                <w:sz w:val="21"/>
                <w:szCs w:val="21"/>
                <w:lang w:val="en-US" w:bidi="ar"/>
              </w:rPr>
              <w:t xml:space="preserve">overload </w:t>
            </w:r>
            <w:r>
              <w:rPr>
                <w:rFonts w:ascii="Times New Roman" w:hAnsi="Times New Roman"/>
                <w:bCs/>
                <w:sz w:val="21"/>
                <w:szCs w:val="21"/>
                <w:lang w:val="en-US"/>
              </w:rPr>
              <w:t>scenario</w:t>
            </w:r>
            <w:r>
              <w:rPr>
                <w:rFonts w:ascii="Times New Roman" w:hAnsi="Times New Roman"/>
                <w:bCs/>
                <w:sz w:val="21"/>
                <w:szCs w:val="21"/>
                <w:lang w:val="en-US" w:bidi="ar"/>
              </w:rPr>
              <w:t>.</w:t>
            </w:r>
          </w:p>
        </w:tc>
      </w:tr>
    </w:tbl>
    <w:p>
      <w:pPr>
        <w:rPr>
          <w:rFonts w:ascii="Times New Roman" w:hAnsi="Times New Roman"/>
          <w:color w:val="00B050"/>
          <w:sz w:val="21"/>
          <w:szCs w:val="21"/>
          <w:lang w:eastAsia="en-US"/>
        </w:rPr>
      </w:pPr>
    </w:p>
    <w:p>
      <w:pPr>
        <w:pStyle w:val="41"/>
        <w:spacing w:before="0" w:after="120"/>
        <w:rPr>
          <w:rStyle w:val="44"/>
          <w:rFonts w:ascii="Times New Roman" w:hAnsi="Times New Roman"/>
          <w:i w:val="0"/>
          <w:color w:val="auto"/>
          <w:sz w:val="22"/>
          <w:lang w:val="en-GB"/>
        </w:rPr>
      </w:pPr>
      <w:r>
        <w:rPr>
          <w:rStyle w:val="44"/>
          <w:rFonts w:ascii="Times New Roman" w:hAnsi="Times New Roman"/>
          <w:i w:val="0"/>
          <w:color w:val="auto"/>
          <w:sz w:val="21"/>
          <w:szCs w:val="21"/>
          <w:lang w:val="en-GB"/>
        </w:rPr>
        <w:t xml:space="preserve">This paper discusses </w:t>
      </w:r>
      <w:r>
        <w:rPr>
          <w:rStyle w:val="44"/>
          <w:rFonts w:ascii="Times New Roman" w:hAnsi="Times New Roman" w:eastAsia="等线"/>
          <w:i w:val="0"/>
          <w:color w:val="auto"/>
          <w:sz w:val="21"/>
          <w:szCs w:val="21"/>
          <w:lang w:eastAsia="zh-CN"/>
        </w:rPr>
        <w:t xml:space="preserve">the </w:t>
      </w:r>
      <w:r>
        <w:rPr>
          <w:rStyle w:val="44"/>
          <w:rFonts w:hint="eastAsia" w:ascii="Times New Roman" w:hAnsi="Times New Roman" w:eastAsia="等线"/>
          <w:i w:val="0"/>
          <w:color w:val="auto"/>
          <w:sz w:val="21"/>
          <w:szCs w:val="21"/>
          <w:lang w:eastAsia="zh-CN"/>
        </w:rPr>
        <w:t xml:space="preserve">above </w:t>
      </w:r>
      <w:r>
        <w:rPr>
          <w:rStyle w:val="44"/>
          <w:rFonts w:ascii="Times New Roman" w:hAnsi="Times New Roman" w:eastAsia="等线"/>
          <w:i w:val="0"/>
          <w:color w:val="auto"/>
          <w:sz w:val="21"/>
          <w:szCs w:val="21"/>
          <w:lang w:eastAsia="zh-CN"/>
        </w:rPr>
        <w:t>leftover issues</w:t>
      </w:r>
      <w:r>
        <w:rPr>
          <w:rStyle w:val="44"/>
          <w:rFonts w:hint="eastAsia" w:ascii="Times New Roman" w:hAnsi="Times New Roman" w:eastAsia="等线"/>
          <w:i w:val="0"/>
          <w:color w:val="auto"/>
          <w:sz w:val="21"/>
          <w:szCs w:val="21"/>
          <w:lang w:eastAsia="zh-CN"/>
        </w:rPr>
        <w:t xml:space="preserve"> </w:t>
      </w:r>
      <w:r>
        <w:rPr>
          <w:rStyle w:val="44"/>
          <w:rFonts w:ascii="Times New Roman" w:hAnsi="Times New Roman" w:eastAsia="等线"/>
          <w:i w:val="0"/>
          <w:color w:val="auto"/>
          <w:sz w:val="21"/>
          <w:szCs w:val="21"/>
          <w:lang w:eastAsia="zh-CN"/>
        </w:rPr>
        <w:t>which have been approved to be further discussed in R18</w:t>
      </w:r>
      <w:r>
        <w:rPr>
          <w:rStyle w:val="44"/>
          <w:rFonts w:ascii="Times New Roman" w:hAnsi="Times New Roman"/>
          <w:i w:val="0"/>
          <w:color w:val="auto"/>
          <w:sz w:val="21"/>
          <w:szCs w:val="21"/>
          <w:lang w:val="en-GB"/>
        </w:rPr>
        <w:t>.</w:t>
      </w:r>
    </w:p>
    <w:p>
      <w:pPr>
        <w:pStyle w:val="2"/>
        <w:rPr>
          <w:rFonts w:eastAsia="宋体"/>
        </w:rPr>
      </w:pPr>
      <w:r>
        <w:rPr>
          <w:rFonts w:eastAsia="宋体"/>
        </w:rPr>
        <w:t>Discussion</w:t>
      </w:r>
    </w:p>
    <w:p>
      <w:pPr>
        <w:pStyle w:val="3"/>
        <w:ind w:left="1134" w:hanging="1134"/>
        <w:rPr>
          <w:rFonts w:eastAsia="宋体" w:cs="Times New Roman"/>
          <w:sz w:val="24"/>
          <w:szCs w:val="20"/>
          <w:lang w:val="en-US"/>
        </w:rPr>
      </w:pPr>
      <w:r>
        <w:rPr>
          <w:rFonts w:hint="eastAsia" w:eastAsia="宋体" w:cs="Times New Roman"/>
          <w:sz w:val="24"/>
          <w:szCs w:val="20"/>
          <w:lang w:val="en-US"/>
        </w:rPr>
        <w:t>QoE reporting handling enhancement for overload</w:t>
      </w:r>
    </w:p>
    <w:p>
      <w:pPr>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In RAN3#119 meeting, it has the following agreement:</w:t>
      </w:r>
    </w:p>
    <w:p>
      <w:pPr>
        <w:rPr>
          <w:rFonts w:ascii="Calibri" w:hAnsi="Calibri" w:cs="Calibri"/>
          <w:i/>
          <w:iCs/>
          <w:color w:val="00B050"/>
          <w:kern w:val="2"/>
          <w:sz w:val="21"/>
          <w:szCs w:val="21"/>
        </w:rPr>
      </w:pPr>
      <w:r>
        <w:rPr>
          <w:rFonts w:ascii="Calibri" w:hAnsi="Calibri" w:cs="Calibri"/>
          <w:i/>
          <w:iCs/>
          <w:color w:val="00B050"/>
          <w:kern w:val="2"/>
          <w:sz w:val="21"/>
          <w:szCs w:val="21"/>
        </w:rPr>
        <w:t xml:space="preserve">In case assistance information for handling of QoE reporting upon RAN overload is sent to the RAN, it is sent together with QoE measurement configuration. RAN3 to further discuss what the assistance information is. From RAN3 perspective, there is no need to send assistance information to UE. </w:t>
      </w:r>
    </w:p>
    <w:p>
      <w:pPr>
        <w:rPr>
          <w:rFonts w:hint="default" w:ascii="Times New Roman" w:hAnsi="Times New Roman" w:eastAsia="宋体"/>
          <w:sz w:val="21"/>
          <w:szCs w:val="21"/>
          <w:lang w:val="en-US" w:eastAsia="zh-CN"/>
        </w:rPr>
      </w:pPr>
    </w:p>
    <w:p>
      <w:pPr>
        <w:rPr>
          <w:rFonts w:hint="default" w:ascii="Times New Roman" w:hAnsi="Times New Roman" w:eastAsia="宋体"/>
          <w:sz w:val="21"/>
          <w:szCs w:val="21"/>
          <w:lang w:val="en-US" w:eastAsia="zh-CN"/>
        </w:rPr>
      </w:pPr>
      <w:r>
        <w:rPr>
          <w:rFonts w:hint="eastAsia" w:ascii="Times New Roman" w:hAnsi="Times New Roman" w:eastAsia="宋体"/>
          <w:sz w:val="21"/>
          <w:szCs w:val="21"/>
          <w:lang w:val="en-US" w:eastAsia="zh-CN"/>
        </w:rPr>
        <w:t xml:space="preserve">RAN3 had agreed to include the assistance information in QoE measurement configuration upon RAN overload. From the perspective of the network, the QoE reports have different importance especially in to business scenarios, different users, difference services and difference slices may have different priority, the network should guarantee the high priority users and slices when the network resource are scarcely. </w:t>
      </w:r>
    </w:p>
    <w:p>
      <w:pPr>
        <w:rPr>
          <w:rFonts w:ascii="Times New Roman" w:hAnsi="Times New Roman" w:eastAsia="宋体"/>
          <w:sz w:val="21"/>
          <w:szCs w:val="21"/>
          <w:lang w:val="en-US"/>
        </w:rPr>
      </w:pPr>
      <w:r>
        <w:rPr>
          <w:rFonts w:ascii="Times New Roman" w:hAnsi="Times New Roman"/>
          <w:sz w:val="21"/>
          <w:szCs w:val="21"/>
        </w:rPr>
        <w:t xml:space="preserve">In Rel-17, the RAN overload mechanism for encapsulated QoE </w:t>
      </w:r>
      <w:r>
        <w:rPr>
          <w:rFonts w:hint="eastAsia" w:ascii="Times New Roman" w:hAnsi="Times New Roman" w:eastAsia="宋体"/>
          <w:sz w:val="21"/>
          <w:szCs w:val="21"/>
          <w:lang w:val="en-US"/>
        </w:rPr>
        <w:t xml:space="preserve">was </w:t>
      </w:r>
      <w:r>
        <w:rPr>
          <w:rFonts w:ascii="Times New Roman" w:hAnsi="Times New Roman"/>
          <w:sz w:val="21"/>
          <w:szCs w:val="21"/>
        </w:rPr>
        <w:t>defined</w:t>
      </w:r>
      <w:r>
        <w:rPr>
          <w:rFonts w:hint="eastAsia" w:ascii="Times New Roman" w:hAnsi="Times New Roman" w:eastAsia="宋体"/>
          <w:sz w:val="21"/>
          <w:szCs w:val="21"/>
          <w:lang w:val="en-US"/>
        </w:rPr>
        <w:t>.</w:t>
      </w:r>
      <w:r>
        <w:rPr>
          <w:rFonts w:ascii="Times New Roman" w:hAnsi="Times New Roman"/>
          <w:sz w:val="21"/>
          <w:szCs w:val="21"/>
        </w:rPr>
        <w:t xml:space="preserve"> In Rel-17, the mechanism of pausing QoE reporting is performed according to the decision of gNB. As the QoE measurement configuration is initiated by OAM, gNB can transfer the QoE reporting according to service priority</w:t>
      </w:r>
      <w:r>
        <w:rPr>
          <w:rFonts w:hint="eastAsia" w:ascii="Times New Roman" w:hAnsi="Times New Roman" w:eastAsia="宋体"/>
          <w:sz w:val="21"/>
          <w:szCs w:val="21"/>
          <w:lang w:val="en-US"/>
        </w:rPr>
        <w:t xml:space="preserve"> to guarantee the QoE reporting transfer for high priority QoE measurements as much as possible</w:t>
      </w:r>
      <w:r>
        <w:rPr>
          <w:rFonts w:ascii="Times New Roman" w:hAnsi="Times New Roman"/>
          <w:sz w:val="21"/>
          <w:szCs w:val="21"/>
        </w:rPr>
        <w:t>.</w:t>
      </w:r>
      <w:r>
        <w:rPr>
          <w:rFonts w:hint="eastAsia" w:ascii="Times New Roman" w:hAnsi="Times New Roman" w:eastAsia="宋体"/>
          <w:sz w:val="21"/>
          <w:szCs w:val="21"/>
          <w:lang w:val="en-US"/>
        </w:rPr>
        <w:t xml:space="preserve"> </w:t>
      </w:r>
    </w:p>
    <w:p>
      <w:pPr>
        <w:rPr>
          <w:rFonts w:ascii="Times New Roman" w:hAnsi="Times New Roman" w:eastAsia="宋体"/>
          <w:sz w:val="21"/>
          <w:szCs w:val="21"/>
          <w:lang w:val="en-US"/>
        </w:rPr>
      </w:pPr>
      <w:r>
        <w:rPr>
          <w:rFonts w:hint="eastAsia" w:ascii="Times New Roman" w:hAnsi="Times New Roman" w:eastAsia="宋体"/>
          <w:sz w:val="21"/>
          <w:szCs w:val="21"/>
          <w:lang w:val="en-US"/>
        </w:rPr>
        <w:t>The OAM can set the QoE reporting priority according to the user priority, slice priority or service priority, gNB can pause the QoE reporting according to the priority set by OAM. If there QoE reporting priority is not supported, gNB can only pause the QoE reporting according to it</w:t>
      </w:r>
      <w:r>
        <w:rPr>
          <w:rFonts w:ascii="Times New Roman" w:hAnsi="Times New Roman" w:eastAsia="宋体"/>
          <w:sz w:val="21"/>
          <w:szCs w:val="21"/>
          <w:lang w:val="en-US"/>
        </w:rPr>
        <w:t>’</w:t>
      </w:r>
      <w:r>
        <w:rPr>
          <w:rFonts w:hint="eastAsia" w:ascii="Times New Roman" w:hAnsi="Times New Roman" w:eastAsia="宋体"/>
          <w:sz w:val="21"/>
          <w:szCs w:val="21"/>
          <w:lang w:val="en-US"/>
        </w:rPr>
        <w:t>s own algorithm. Some QoE reports which should be guaranteed as much as possible may be paused first, and the OAM will receive the QoE reports late, or QoE reports may lost due to the UE buffer is overload. It is not a good way to pause all QoE reporting during overload, differentiated strategy should be taken considering the traffic load.</w:t>
      </w:r>
    </w:p>
    <w:p>
      <w:pPr>
        <w:rPr>
          <w:rFonts w:ascii="Times New Roman" w:hAnsi="Times New Roman" w:eastAsia="宋体"/>
          <w:sz w:val="21"/>
          <w:szCs w:val="21"/>
          <w:lang w:val="en-US"/>
        </w:rPr>
      </w:pPr>
      <w:r>
        <w:rPr>
          <w:rFonts w:hint="eastAsia" w:ascii="Times New Roman" w:hAnsi="Times New Roman" w:eastAsia="宋体"/>
          <w:sz w:val="21"/>
          <w:szCs w:val="21"/>
          <w:lang w:val="en-US"/>
        </w:rPr>
        <w:t xml:space="preserve">In R18, QoE measurement configuration and collection in RRC_INACTIVE and RRC_IDLE states for MBS is one of the objective. For QoE reporting when UE enter into RRC_CONNECTED state, it may have large amount of QoE reports. The QoE reports are stored in UE AS layer, if the buffer is full, and the important QoE reporting may be discard. Pausing all QoE reporting during overload is not a good mechanism, it can be enhanced. QoE reporting priority can be used to control the QoE reporting storage and QoE reporting. </w:t>
      </w:r>
    </w:p>
    <w:p>
      <w:pPr>
        <w:rPr>
          <w:rFonts w:hint="eastAsia" w:ascii="Times New Roman" w:hAnsi="Times New Roman" w:eastAsia="宋体"/>
          <w:b/>
          <w:sz w:val="21"/>
          <w:szCs w:val="21"/>
          <w:highlight w:val="none"/>
          <w:lang w:val="en-US"/>
        </w:rPr>
      </w:pPr>
      <w:bookmarkStart w:id="1" w:name="_GoBack"/>
      <w:bookmarkEnd w:id="1"/>
      <w:r>
        <w:rPr>
          <w:rFonts w:ascii="Times New Roman" w:hAnsi="Times New Roman" w:eastAsia="宋体"/>
          <w:b/>
          <w:sz w:val="21"/>
          <w:szCs w:val="21"/>
          <w:highlight w:val="none"/>
        </w:rPr>
        <w:t xml:space="preserve">Proposal </w:t>
      </w:r>
      <w:r>
        <w:rPr>
          <w:rFonts w:hint="eastAsia" w:ascii="Times New Roman" w:hAnsi="Times New Roman" w:eastAsia="宋体"/>
          <w:b/>
          <w:sz w:val="21"/>
          <w:szCs w:val="21"/>
          <w:highlight w:val="none"/>
          <w:lang w:val="en-US"/>
        </w:rPr>
        <w:t>1</w:t>
      </w:r>
      <w:r>
        <w:rPr>
          <w:rFonts w:ascii="Times New Roman" w:hAnsi="Times New Roman" w:eastAsia="宋体"/>
          <w:b/>
          <w:sz w:val="21"/>
          <w:szCs w:val="21"/>
          <w:highlight w:val="none"/>
        </w:rPr>
        <w:t xml:space="preserve">: </w:t>
      </w:r>
      <w:r>
        <w:rPr>
          <w:rFonts w:hint="eastAsia" w:ascii="Times New Roman" w:hAnsi="Times New Roman" w:eastAsia="宋体"/>
          <w:b/>
          <w:sz w:val="21"/>
          <w:szCs w:val="21"/>
          <w:highlight w:val="none"/>
          <w:lang w:val="en-US"/>
        </w:rPr>
        <w:t>QoE reporting priority should be included in the QoE configuration</w:t>
      </w:r>
      <w:r>
        <w:rPr>
          <w:rFonts w:hint="eastAsia" w:ascii="Times New Roman" w:hAnsi="Times New Roman" w:eastAsia="宋体"/>
          <w:b/>
          <w:sz w:val="21"/>
          <w:szCs w:val="21"/>
          <w:highlight w:val="none"/>
          <w:lang w:val="en-US" w:eastAsia="zh-CN"/>
        </w:rPr>
        <w:t xml:space="preserve"> as an assistance information</w:t>
      </w:r>
      <w:r>
        <w:rPr>
          <w:rFonts w:hint="eastAsia" w:ascii="Times New Roman" w:hAnsi="Times New Roman" w:eastAsia="宋体"/>
          <w:b/>
          <w:sz w:val="21"/>
          <w:szCs w:val="21"/>
          <w:highlight w:val="none"/>
          <w:lang w:val="en-US"/>
        </w:rPr>
        <w:t>.</w:t>
      </w:r>
    </w:p>
    <w:p>
      <w:pPr>
        <w:rPr>
          <w:rFonts w:hint="eastAsia" w:ascii="Times New Roman" w:hAnsi="Times New Roman" w:eastAsia="宋体"/>
          <w:b/>
          <w:sz w:val="21"/>
          <w:szCs w:val="21"/>
          <w:highlight w:val="none"/>
          <w:lang w:val="en-US"/>
        </w:rPr>
      </w:pPr>
    </w:p>
    <w:p>
      <w:pPr>
        <w:rPr>
          <w:rFonts w:hint="default" w:ascii="Times New Roman" w:hAnsi="Times New Roman" w:eastAsia="宋体"/>
          <w:b/>
          <w:sz w:val="21"/>
          <w:szCs w:val="21"/>
          <w:highlight w:val="none"/>
          <w:lang w:val="en-US"/>
        </w:rPr>
      </w:pPr>
      <w:r>
        <w:rPr>
          <w:rFonts w:hint="eastAsia" w:ascii="Times New Roman" w:hAnsi="Times New Roman" w:eastAsia="宋体"/>
          <w:sz w:val="21"/>
          <w:szCs w:val="21"/>
          <w:lang w:val="en-US" w:eastAsia="zh-CN"/>
        </w:rPr>
        <w:t>In 5G NR, multiple QoE configurations can be supported for one UE with different reference ID. The QoE configuration can be configured with different service type, different slice. For the QoE configuration, multiple QoE configurations can be configured with the same service type, multiple QoE configurations can be configured with the same slice (may different service type). For the QoE reporting priority configured in the QoE configuration, it should consider about the different service type and different slice, and the granularity should guarantee the reporting requirements of the network. The reporting priority should be configured for each QoE configuration.</w:t>
      </w:r>
    </w:p>
    <w:p>
      <w:pPr>
        <w:rPr>
          <w:rFonts w:hint="default" w:ascii="Times New Roman" w:hAnsi="Times New Roman"/>
          <w:lang w:val="en-US"/>
        </w:rPr>
      </w:pPr>
      <w:r>
        <w:rPr>
          <w:rFonts w:hint="eastAsia" w:ascii="Times New Roman" w:hAnsi="Times New Roman" w:eastAsia="宋体"/>
          <w:b/>
          <w:sz w:val="21"/>
          <w:szCs w:val="21"/>
          <w:highlight w:val="none"/>
          <w:lang w:val="en-US" w:eastAsia="zh-CN"/>
        </w:rPr>
        <w:t>Proposal 2: QoE reporting priority should be configured for each QoE configuration accompanied with each QoE reference ID.</w:t>
      </w:r>
    </w:p>
    <w:p>
      <w:pPr>
        <w:rPr>
          <w:rFonts w:ascii="Times New Roman" w:hAnsi="Times New Roman" w:eastAsia="等线"/>
          <w:b/>
          <w:sz w:val="22"/>
          <w:szCs w:val="22"/>
          <w:lang w:val="en-US"/>
        </w:rPr>
      </w:pPr>
    </w:p>
    <w:p>
      <w:pPr>
        <w:rPr>
          <w:rFonts w:ascii="Times New Roman" w:hAnsi="Times New Roman" w:eastAsia="等线"/>
          <w:bCs/>
          <w:sz w:val="22"/>
          <w:szCs w:val="22"/>
          <w:lang w:val="en-US"/>
        </w:rPr>
      </w:pPr>
    </w:p>
    <w:p>
      <w:pPr>
        <w:pStyle w:val="2"/>
        <w:rPr>
          <w:rFonts w:eastAsia="宋体"/>
        </w:rPr>
      </w:pPr>
      <w:r>
        <w:rPr>
          <w:rFonts w:eastAsia="宋体"/>
        </w:rPr>
        <w:t>Conclusion</w:t>
      </w:r>
    </w:p>
    <w:p>
      <w:pPr>
        <w:rPr>
          <w:rFonts w:hint="eastAsia" w:ascii="Times New Roman" w:hAnsi="Times New Roman" w:eastAsia="宋体"/>
          <w:b/>
          <w:sz w:val="21"/>
          <w:szCs w:val="21"/>
          <w:highlight w:val="none"/>
          <w:lang w:val="en-US"/>
        </w:rPr>
      </w:pPr>
      <w:bookmarkStart w:id="0" w:name="_In-sequence_SDU_delivery"/>
      <w:bookmarkEnd w:id="0"/>
      <w:r>
        <w:rPr>
          <w:rFonts w:ascii="Times New Roman" w:hAnsi="Times New Roman" w:eastAsia="宋体"/>
          <w:b/>
          <w:sz w:val="21"/>
          <w:szCs w:val="21"/>
          <w:highlight w:val="none"/>
        </w:rPr>
        <w:t>Proposal</w:t>
      </w:r>
      <w:r>
        <w:rPr>
          <w:rFonts w:hint="eastAsia" w:ascii="Times New Roman" w:hAnsi="Times New Roman" w:eastAsia="宋体"/>
          <w:b/>
          <w:sz w:val="21"/>
          <w:szCs w:val="21"/>
          <w:highlight w:val="none"/>
          <w:lang w:val="en-US" w:eastAsia="zh-CN"/>
        </w:rPr>
        <w:t xml:space="preserve"> </w:t>
      </w:r>
      <w:r>
        <w:rPr>
          <w:rFonts w:hint="eastAsia" w:ascii="Times New Roman" w:hAnsi="Times New Roman" w:eastAsia="宋体"/>
          <w:b/>
          <w:sz w:val="21"/>
          <w:szCs w:val="21"/>
          <w:highlight w:val="none"/>
          <w:lang w:val="en-US"/>
        </w:rPr>
        <w:t>1</w:t>
      </w:r>
      <w:r>
        <w:rPr>
          <w:rFonts w:ascii="Times New Roman" w:hAnsi="Times New Roman" w:eastAsia="宋体"/>
          <w:b/>
          <w:sz w:val="21"/>
          <w:szCs w:val="21"/>
          <w:highlight w:val="none"/>
        </w:rPr>
        <w:t xml:space="preserve">: </w:t>
      </w:r>
      <w:r>
        <w:rPr>
          <w:rFonts w:hint="eastAsia" w:ascii="Times New Roman" w:hAnsi="Times New Roman" w:eastAsia="宋体"/>
          <w:b/>
          <w:sz w:val="21"/>
          <w:szCs w:val="21"/>
          <w:highlight w:val="none"/>
          <w:lang w:val="en-US"/>
        </w:rPr>
        <w:t>QoE reporting priority should be included in the QoE configuration</w:t>
      </w:r>
      <w:r>
        <w:rPr>
          <w:rFonts w:hint="eastAsia" w:ascii="Times New Roman" w:hAnsi="Times New Roman" w:eastAsia="宋体"/>
          <w:b/>
          <w:sz w:val="21"/>
          <w:szCs w:val="21"/>
          <w:highlight w:val="none"/>
          <w:lang w:val="en-US" w:eastAsia="zh-CN"/>
        </w:rPr>
        <w:t xml:space="preserve"> as an assistance information</w:t>
      </w:r>
      <w:r>
        <w:rPr>
          <w:rFonts w:hint="eastAsia" w:ascii="Times New Roman" w:hAnsi="Times New Roman" w:eastAsia="宋体"/>
          <w:b/>
          <w:sz w:val="21"/>
          <w:szCs w:val="21"/>
          <w:highlight w:val="none"/>
          <w:lang w:val="en-US"/>
        </w:rPr>
        <w:t>.</w:t>
      </w:r>
    </w:p>
    <w:p>
      <w:pPr>
        <w:rPr>
          <w:rFonts w:hint="default" w:ascii="Times New Roman" w:hAnsi="Times New Roman"/>
          <w:lang w:val="en-US"/>
        </w:rPr>
      </w:pPr>
      <w:r>
        <w:rPr>
          <w:rFonts w:hint="eastAsia" w:ascii="Times New Roman" w:hAnsi="Times New Roman" w:eastAsia="宋体"/>
          <w:b/>
          <w:sz w:val="21"/>
          <w:szCs w:val="21"/>
          <w:highlight w:val="none"/>
          <w:lang w:val="en-US" w:eastAsia="zh-CN"/>
        </w:rPr>
        <w:t>Proposal 2: QoE reporting priority should be configured for each QoE configuration accompanied with each QoE reference ID.</w:t>
      </w:r>
    </w:p>
    <w:p>
      <w:pPr>
        <w:rPr>
          <w:rFonts w:ascii="Times New Roman" w:hAnsi="Times New Roman" w:eastAsia="宋体"/>
          <w:b/>
          <w:sz w:val="21"/>
          <w:szCs w:val="21"/>
          <w:lang w:val="en-US"/>
        </w:rPr>
      </w:pPr>
    </w:p>
    <w:p>
      <w:pPr>
        <w:rPr>
          <w:rFonts w:ascii="Times New Roman" w:hAnsi="Times New Roman" w:eastAsia="宋体"/>
          <w:b/>
          <w:sz w:val="21"/>
          <w:szCs w:val="21"/>
          <w:lang w:val="en-US"/>
        </w:rPr>
      </w:pPr>
    </w:p>
    <w:p>
      <w:pPr>
        <w:rPr>
          <w:rFonts w:ascii="Times New Roman" w:hAnsi="Times New Roman" w:eastAsia="宋体"/>
          <w:b/>
          <w:sz w:val="21"/>
          <w:szCs w:val="21"/>
        </w:rPr>
      </w:pPr>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5"/>
        </w:pPr>
        <w:r>
          <w:fldChar w:fldCharType="begin"/>
        </w:r>
        <w:r>
          <w:instrText xml:space="preserve"> PAGE   \* MERGEFORMAT </w:instrText>
        </w:r>
        <w:r>
          <w:fldChar w:fldCharType="separate"/>
        </w:r>
        <w:r>
          <w:t>2</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AA46647"/>
    <w:multiLevelType w:val="multilevel"/>
    <w:tmpl w:val="3AA46647"/>
    <w:lvl w:ilvl="0" w:tentative="0">
      <w:start w:val="1"/>
      <w:numFmt w:val="decimal"/>
      <w:pStyle w:val="7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BDF65F6"/>
    <w:multiLevelType w:val="multilevel"/>
    <w:tmpl w:val="4BDF65F6"/>
    <w:lvl w:ilvl="0" w:tentative="0">
      <w:start w:val="1"/>
      <w:numFmt w:val="decimal"/>
      <w:pStyle w:val="6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5101505E"/>
    <w:multiLevelType w:val="multilevel"/>
    <w:tmpl w:val="5101505E"/>
    <w:lvl w:ilvl="0" w:tentative="0">
      <w:start w:val="1"/>
      <w:numFmt w:val="decimal"/>
      <w:pStyle w:val="71"/>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0A07"/>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0E6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49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4B3"/>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D7F"/>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5F3A"/>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C4F"/>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26"/>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32F3792"/>
    <w:rsid w:val="03D14C3B"/>
    <w:rsid w:val="04295C42"/>
    <w:rsid w:val="043D3031"/>
    <w:rsid w:val="04C94AE8"/>
    <w:rsid w:val="06B97816"/>
    <w:rsid w:val="06FC740B"/>
    <w:rsid w:val="070A575C"/>
    <w:rsid w:val="07792DCD"/>
    <w:rsid w:val="079C19F5"/>
    <w:rsid w:val="083F111A"/>
    <w:rsid w:val="09D15CAE"/>
    <w:rsid w:val="09DD3685"/>
    <w:rsid w:val="0A393B80"/>
    <w:rsid w:val="0C5F135C"/>
    <w:rsid w:val="0C65076F"/>
    <w:rsid w:val="0E7E05D9"/>
    <w:rsid w:val="0EF44C6E"/>
    <w:rsid w:val="0F94465A"/>
    <w:rsid w:val="0FB2031D"/>
    <w:rsid w:val="10F93FE9"/>
    <w:rsid w:val="10FE6AE2"/>
    <w:rsid w:val="11817206"/>
    <w:rsid w:val="12271FA3"/>
    <w:rsid w:val="13A811F9"/>
    <w:rsid w:val="13B86A3E"/>
    <w:rsid w:val="14E75240"/>
    <w:rsid w:val="163B7EEA"/>
    <w:rsid w:val="17670DB9"/>
    <w:rsid w:val="191F3236"/>
    <w:rsid w:val="1B1D6B9D"/>
    <w:rsid w:val="1BF1487D"/>
    <w:rsid w:val="1E754739"/>
    <w:rsid w:val="1FA721F7"/>
    <w:rsid w:val="20AB70BB"/>
    <w:rsid w:val="210D6061"/>
    <w:rsid w:val="220F4F71"/>
    <w:rsid w:val="22BB00D6"/>
    <w:rsid w:val="22BC142E"/>
    <w:rsid w:val="24231158"/>
    <w:rsid w:val="25FF766E"/>
    <w:rsid w:val="261440AC"/>
    <w:rsid w:val="263C374B"/>
    <w:rsid w:val="273544AA"/>
    <w:rsid w:val="27997C75"/>
    <w:rsid w:val="2A01400F"/>
    <w:rsid w:val="2A315BAA"/>
    <w:rsid w:val="2C9A2DA6"/>
    <w:rsid w:val="2E942E5B"/>
    <w:rsid w:val="2F557A33"/>
    <w:rsid w:val="2F773163"/>
    <w:rsid w:val="305E640B"/>
    <w:rsid w:val="3371510F"/>
    <w:rsid w:val="338C06FC"/>
    <w:rsid w:val="33C90C05"/>
    <w:rsid w:val="33F56526"/>
    <w:rsid w:val="34D439B4"/>
    <w:rsid w:val="36091134"/>
    <w:rsid w:val="36632AEA"/>
    <w:rsid w:val="368843D0"/>
    <w:rsid w:val="391027EC"/>
    <w:rsid w:val="3B2D1219"/>
    <w:rsid w:val="3B73237A"/>
    <w:rsid w:val="3D92647A"/>
    <w:rsid w:val="3D964B91"/>
    <w:rsid w:val="3E1B4C9D"/>
    <w:rsid w:val="3E91575D"/>
    <w:rsid w:val="3F5C0A16"/>
    <w:rsid w:val="3FA11EEE"/>
    <w:rsid w:val="401A7825"/>
    <w:rsid w:val="40BF6BC9"/>
    <w:rsid w:val="40E1210B"/>
    <w:rsid w:val="41542CFD"/>
    <w:rsid w:val="425C406C"/>
    <w:rsid w:val="47075E0C"/>
    <w:rsid w:val="4744543E"/>
    <w:rsid w:val="48F41628"/>
    <w:rsid w:val="490567A3"/>
    <w:rsid w:val="491B712B"/>
    <w:rsid w:val="492A4BB1"/>
    <w:rsid w:val="49861B6A"/>
    <w:rsid w:val="4A77233E"/>
    <w:rsid w:val="4BB91BB3"/>
    <w:rsid w:val="4BF10DDC"/>
    <w:rsid w:val="4F2A2171"/>
    <w:rsid w:val="4F6024D8"/>
    <w:rsid w:val="4F8A174A"/>
    <w:rsid w:val="50622B1F"/>
    <w:rsid w:val="50C64783"/>
    <w:rsid w:val="50FE5570"/>
    <w:rsid w:val="52A92335"/>
    <w:rsid w:val="531D5224"/>
    <w:rsid w:val="5338060D"/>
    <w:rsid w:val="54844AF7"/>
    <w:rsid w:val="55192BD3"/>
    <w:rsid w:val="55B9544B"/>
    <w:rsid w:val="563343BC"/>
    <w:rsid w:val="564E5371"/>
    <w:rsid w:val="58195F95"/>
    <w:rsid w:val="58DF7946"/>
    <w:rsid w:val="59506972"/>
    <w:rsid w:val="59816098"/>
    <w:rsid w:val="599A6DD6"/>
    <w:rsid w:val="59A925CC"/>
    <w:rsid w:val="5A0D3098"/>
    <w:rsid w:val="5C363C14"/>
    <w:rsid w:val="5C367984"/>
    <w:rsid w:val="5C5C3385"/>
    <w:rsid w:val="5D252F07"/>
    <w:rsid w:val="5D7E1613"/>
    <w:rsid w:val="5E965748"/>
    <w:rsid w:val="5FB23A2F"/>
    <w:rsid w:val="613009DC"/>
    <w:rsid w:val="61DC0023"/>
    <w:rsid w:val="65935BC8"/>
    <w:rsid w:val="666F2A4C"/>
    <w:rsid w:val="667631EA"/>
    <w:rsid w:val="67CB0A23"/>
    <w:rsid w:val="69C17100"/>
    <w:rsid w:val="6B8B33A1"/>
    <w:rsid w:val="6B9B05CC"/>
    <w:rsid w:val="6C535F86"/>
    <w:rsid w:val="6C7E4726"/>
    <w:rsid w:val="6D5F4891"/>
    <w:rsid w:val="6DFB61C6"/>
    <w:rsid w:val="6E626D97"/>
    <w:rsid w:val="6EE458B2"/>
    <w:rsid w:val="6F364C98"/>
    <w:rsid w:val="6FF65754"/>
    <w:rsid w:val="70206718"/>
    <w:rsid w:val="70D12082"/>
    <w:rsid w:val="7174432C"/>
    <w:rsid w:val="71BB4B7F"/>
    <w:rsid w:val="72E222D2"/>
    <w:rsid w:val="739C76CB"/>
    <w:rsid w:val="742D27A1"/>
    <w:rsid w:val="758902E5"/>
    <w:rsid w:val="76AC6ABE"/>
    <w:rsid w:val="7785551F"/>
    <w:rsid w:val="77D921EC"/>
    <w:rsid w:val="783A3050"/>
    <w:rsid w:val="79EA1A55"/>
    <w:rsid w:val="7BC84A7A"/>
    <w:rsid w:val="7CBA1DDD"/>
    <w:rsid w:val="7DAC20BE"/>
    <w:rsid w:val="7DD712F2"/>
    <w:rsid w:val="7EC37C12"/>
    <w:rsid w:val="7F207AA0"/>
    <w:rsid w:val="7F28096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6"/>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7"/>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8"/>
    <w:qFormat/>
    <w:uiPriority w:val="0"/>
    <w:pPr>
      <w:numPr>
        <w:ilvl w:val="2"/>
      </w:numPr>
      <w:spacing w:before="120"/>
      <w:outlineLvl w:val="2"/>
    </w:pPr>
    <w:rPr>
      <w:sz w:val="28"/>
      <w:szCs w:val="28"/>
    </w:rPr>
  </w:style>
  <w:style w:type="paragraph" w:styleId="5">
    <w:name w:val="heading 4"/>
    <w:basedOn w:val="1"/>
    <w:next w:val="1"/>
    <w:link w:val="29"/>
    <w:qFormat/>
    <w:uiPriority w:val="0"/>
    <w:pPr>
      <w:tabs>
        <w:tab w:val="left" w:pos="432"/>
      </w:tabs>
      <w:outlineLvl w:val="3"/>
    </w:pPr>
    <w:rPr>
      <w:sz w:val="24"/>
      <w:szCs w:val="24"/>
    </w:rPr>
  </w:style>
  <w:style w:type="paragraph" w:styleId="6">
    <w:name w:val="heading 5"/>
    <w:basedOn w:val="5"/>
    <w:next w:val="1"/>
    <w:link w:val="30"/>
    <w:qFormat/>
    <w:uiPriority w:val="0"/>
    <w:pPr>
      <w:outlineLvl w:val="4"/>
    </w:pPr>
    <w:rPr>
      <w:sz w:val="22"/>
      <w:szCs w:val="22"/>
    </w:rPr>
  </w:style>
  <w:style w:type="paragraph" w:styleId="7">
    <w:name w:val="heading 6"/>
    <w:basedOn w:val="1"/>
    <w:next w:val="1"/>
    <w:link w:val="31"/>
    <w:qFormat/>
    <w:uiPriority w:val="0"/>
    <w:pPr>
      <w:keepNext/>
      <w:keepLines/>
      <w:numPr>
        <w:ilvl w:val="5"/>
        <w:numId w:val="1"/>
      </w:numPr>
      <w:spacing w:before="120"/>
      <w:outlineLvl w:val="5"/>
    </w:pPr>
    <w:rPr>
      <w:rFonts w:cs="Arial"/>
    </w:rPr>
  </w:style>
  <w:style w:type="paragraph" w:styleId="8">
    <w:name w:val="heading 7"/>
    <w:basedOn w:val="1"/>
    <w:next w:val="1"/>
    <w:link w:val="32"/>
    <w:qFormat/>
    <w:uiPriority w:val="0"/>
    <w:pPr>
      <w:keepNext/>
      <w:keepLines/>
      <w:numPr>
        <w:ilvl w:val="6"/>
        <w:numId w:val="1"/>
      </w:numPr>
      <w:spacing w:before="120"/>
      <w:outlineLvl w:val="6"/>
    </w:pPr>
    <w:rPr>
      <w:rFonts w:cs="Arial"/>
    </w:rPr>
  </w:style>
  <w:style w:type="paragraph" w:styleId="9">
    <w:name w:val="heading 8"/>
    <w:basedOn w:val="8"/>
    <w:next w:val="1"/>
    <w:link w:val="33"/>
    <w:qFormat/>
    <w:uiPriority w:val="0"/>
    <w:pPr>
      <w:numPr>
        <w:ilvl w:val="7"/>
      </w:numPr>
      <w:outlineLvl w:val="7"/>
    </w:pPr>
  </w:style>
  <w:style w:type="paragraph" w:styleId="10">
    <w:name w:val="heading 9"/>
    <w:basedOn w:val="9"/>
    <w:next w:val="1"/>
    <w:link w:val="34"/>
    <w:qFormat/>
    <w:uiPriority w:val="0"/>
    <w:pPr>
      <w:numPr>
        <w:ilvl w:val="8"/>
      </w:numPr>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next w:val="12"/>
    <w:link w:val="59"/>
    <w:qFormat/>
    <w:uiPriority w:val="0"/>
    <w:pPr>
      <w:spacing w:before="120" w:after="120"/>
      <w:ind w:left="2438" w:hanging="1134"/>
    </w:pPr>
    <w:rPr>
      <w:rFonts w:ascii="Arial" w:hAnsi="Arial" w:eastAsia="Times New Roman" w:cs="Times New Roman"/>
      <w:kern w:val="20"/>
      <w:lang w:val="en-US" w:eastAsia="en-US" w:bidi="ar-SA"/>
    </w:rPr>
  </w:style>
  <w:style w:type="paragraph" w:styleId="12">
    <w:name w:val="Body Text"/>
    <w:basedOn w:val="1"/>
    <w:link w:val="46"/>
    <w:semiHidden/>
    <w:unhideWhenUsed/>
    <w:qFormat/>
    <w:uiPriority w:val="99"/>
  </w:style>
  <w:style w:type="paragraph" w:styleId="13">
    <w:name w:val="annotation text"/>
    <w:basedOn w:val="1"/>
    <w:link w:val="37"/>
    <w:qFormat/>
    <w:uiPriority w:val="0"/>
  </w:style>
  <w:style w:type="paragraph" w:styleId="14">
    <w:name w:val="Balloon Text"/>
    <w:basedOn w:val="1"/>
    <w:link w:val="47"/>
    <w:semiHidden/>
    <w:unhideWhenUsed/>
    <w:qFormat/>
    <w:uiPriority w:val="99"/>
    <w:pPr>
      <w:spacing w:after="0"/>
    </w:pPr>
    <w:rPr>
      <w:rFonts w:ascii="Segoe UI" w:hAnsi="Segoe UI" w:cs="Segoe UI"/>
      <w:sz w:val="18"/>
      <w:szCs w:val="18"/>
    </w:rPr>
  </w:style>
  <w:style w:type="paragraph" w:styleId="15">
    <w:name w:val="footer"/>
    <w:basedOn w:val="16"/>
    <w:link w:val="36"/>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5"/>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Normal (Web)"/>
    <w:basedOn w:val="1"/>
    <w:semiHidden/>
    <w:unhideWhenUsed/>
    <w:qFormat/>
    <w:uiPriority w:val="99"/>
    <w:rPr>
      <w:sz w:val="24"/>
    </w:rPr>
  </w:style>
  <w:style w:type="paragraph" w:styleId="19">
    <w:name w:val="annotation subject"/>
    <w:basedOn w:val="13"/>
    <w:next w:val="13"/>
    <w:link w:val="48"/>
    <w:semiHidden/>
    <w:unhideWhenUsed/>
    <w:qFormat/>
    <w:uiPriority w:val="99"/>
    <w:rPr>
      <w:b/>
      <w:bCs/>
    </w:rPr>
  </w:style>
  <w:style w:type="table" w:styleId="21">
    <w:name w:val="Table Grid"/>
    <w:basedOn w:val="20"/>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semiHidden/>
    <w:qFormat/>
    <w:uiPriority w:val="0"/>
  </w:style>
  <w:style w:type="character" w:styleId="24">
    <w:name w:val="Hyperlink"/>
    <w:basedOn w:val="22"/>
    <w:qFormat/>
    <w:uiPriority w:val="99"/>
    <w:rPr>
      <w:color w:val="0000FF"/>
      <w:u w:val="single"/>
      <w:lang w:val="en-GB"/>
    </w:rPr>
  </w:style>
  <w:style w:type="character" w:styleId="25">
    <w:name w:val="annotation reference"/>
    <w:qFormat/>
    <w:uiPriority w:val="0"/>
    <w:rPr>
      <w:sz w:val="16"/>
      <w:szCs w:val="16"/>
    </w:rPr>
  </w:style>
  <w:style w:type="character" w:customStyle="1" w:styleId="26">
    <w:name w:val="标题 1 字符"/>
    <w:basedOn w:val="22"/>
    <w:link w:val="2"/>
    <w:qFormat/>
    <w:uiPriority w:val="0"/>
    <w:rPr>
      <w:rFonts w:ascii="Arial" w:hAnsi="Arial" w:eastAsia="Times New Roman" w:cs="Arial"/>
      <w:sz w:val="36"/>
      <w:szCs w:val="36"/>
      <w:lang w:val="en-GB" w:eastAsia="zh-CN"/>
    </w:rPr>
  </w:style>
  <w:style w:type="character" w:customStyle="1" w:styleId="27">
    <w:name w:val="标题 2 字符"/>
    <w:basedOn w:val="22"/>
    <w:link w:val="3"/>
    <w:qFormat/>
    <w:uiPriority w:val="0"/>
    <w:rPr>
      <w:rFonts w:ascii="Arial" w:hAnsi="Arial" w:eastAsia="Times New Roman" w:cs="Arial"/>
      <w:sz w:val="32"/>
      <w:szCs w:val="32"/>
      <w:lang w:val="en-GB" w:eastAsia="zh-CN"/>
    </w:rPr>
  </w:style>
  <w:style w:type="character" w:customStyle="1" w:styleId="28">
    <w:name w:val="标题 3 字符"/>
    <w:basedOn w:val="22"/>
    <w:link w:val="4"/>
    <w:qFormat/>
    <w:uiPriority w:val="0"/>
    <w:rPr>
      <w:rFonts w:ascii="Arial" w:hAnsi="Arial" w:eastAsia="Times New Roman" w:cs="Arial"/>
      <w:sz w:val="28"/>
      <w:szCs w:val="28"/>
      <w:lang w:val="en-GB" w:eastAsia="zh-CN"/>
    </w:rPr>
  </w:style>
  <w:style w:type="character" w:customStyle="1" w:styleId="29">
    <w:name w:val="标题 4 字符"/>
    <w:basedOn w:val="22"/>
    <w:link w:val="5"/>
    <w:qFormat/>
    <w:uiPriority w:val="0"/>
    <w:rPr>
      <w:rFonts w:ascii="Arial" w:hAnsi="Arial" w:eastAsia="Times New Roman" w:cs="Arial"/>
      <w:sz w:val="24"/>
      <w:szCs w:val="24"/>
      <w:lang w:val="en-GB" w:eastAsia="zh-CN"/>
    </w:rPr>
  </w:style>
  <w:style w:type="character" w:customStyle="1" w:styleId="30">
    <w:name w:val="标题 5 字符"/>
    <w:basedOn w:val="22"/>
    <w:link w:val="6"/>
    <w:qFormat/>
    <w:uiPriority w:val="0"/>
    <w:rPr>
      <w:rFonts w:ascii="Arial" w:hAnsi="Arial" w:eastAsia="Times New Roman" w:cs="Arial"/>
      <w:lang w:val="en-GB" w:eastAsia="zh-CN"/>
    </w:rPr>
  </w:style>
  <w:style w:type="character" w:customStyle="1" w:styleId="31">
    <w:name w:val="标题 6 字符"/>
    <w:basedOn w:val="22"/>
    <w:link w:val="7"/>
    <w:qFormat/>
    <w:uiPriority w:val="0"/>
    <w:rPr>
      <w:rFonts w:ascii="Arial" w:hAnsi="Arial" w:eastAsia="Times New Roman" w:cs="Arial"/>
      <w:sz w:val="20"/>
      <w:szCs w:val="20"/>
      <w:lang w:val="en-GB" w:eastAsia="zh-CN"/>
    </w:rPr>
  </w:style>
  <w:style w:type="character" w:customStyle="1" w:styleId="32">
    <w:name w:val="标题 7 字符"/>
    <w:basedOn w:val="22"/>
    <w:link w:val="8"/>
    <w:qFormat/>
    <w:uiPriority w:val="0"/>
    <w:rPr>
      <w:rFonts w:ascii="Arial" w:hAnsi="Arial" w:eastAsia="Times New Roman" w:cs="Arial"/>
      <w:sz w:val="20"/>
      <w:szCs w:val="20"/>
      <w:lang w:val="en-GB" w:eastAsia="zh-CN"/>
    </w:rPr>
  </w:style>
  <w:style w:type="character" w:customStyle="1" w:styleId="33">
    <w:name w:val="标题 8 字符"/>
    <w:basedOn w:val="22"/>
    <w:link w:val="9"/>
    <w:qFormat/>
    <w:uiPriority w:val="0"/>
    <w:rPr>
      <w:rFonts w:ascii="Arial" w:hAnsi="Arial" w:eastAsia="Times New Roman" w:cs="Arial"/>
      <w:sz w:val="20"/>
      <w:szCs w:val="20"/>
      <w:lang w:val="en-GB" w:eastAsia="zh-CN"/>
    </w:rPr>
  </w:style>
  <w:style w:type="character" w:customStyle="1" w:styleId="34">
    <w:name w:val="标题 9 字符"/>
    <w:basedOn w:val="22"/>
    <w:link w:val="10"/>
    <w:qFormat/>
    <w:uiPriority w:val="0"/>
    <w:rPr>
      <w:rFonts w:ascii="Arial" w:hAnsi="Arial" w:eastAsia="Times New Roman" w:cs="Arial"/>
      <w:sz w:val="20"/>
      <w:szCs w:val="20"/>
      <w:lang w:val="en-GB" w:eastAsia="zh-CN"/>
    </w:rPr>
  </w:style>
  <w:style w:type="paragraph" w:customStyle="1" w:styleId="35">
    <w:name w:val="3GPP_Header"/>
    <w:basedOn w:val="1"/>
    <w:qFormat/>
    <w:uiPriority w:val="0"/>
    <w:pPr>
      <w:tabs>
        <w:tab w:val="left" w:pos="1701"/>
        <w:tab w:val="right" w:pos="9639"/>
      </w:tabs>
      <w:spacing w:after="240"/>
    </w:pPr>
    <w:rPr>
      <w:b/>
      <w:sz w:val="24"/>
    </w:rPr>
  </w:style>
  <w:style w:type="character" w:customStyle="1" w:styleId="36">
    <w:name w:val="页脚 字符"/>
    <w:basedOn w:val="22"/>
    <w:link w:val="15"/>
    <w:qFormat/>
    <w:uiPriority w:val="99"/>
    <w:rPr>
      <w:rFonts w:ascii="Arial" w:hAnsi="Arial" w:eastAsia="Times New Roman" w:cs="Arial"/>
      <w:b/>
      <w:bCs/>
      <w:i/>
      <w:iCs/>
      <w:sz w:val="18"/>
      <w:szCs w:val="18"/>
      <w:lang w:val="en-US" w:eastAsia="zh-CN"/>
    </w:rPr>
  </w:style>
  <w:style w:type="character" w:customStyle="1" w:styleId="37">
    <w:name w:val="批注文字 字符"/>
    <w:basedOn w:val="22"/>
    <w:link w:val="13"/>
    <w:qFormat/>
    <w:uiPriority w:val="0"/>
    <w:rPr>
      <w:rFonts w:ascii="Arial" w:hAnsi="Arial" w:eastAsia="Times New Roman" w:cs="Times New Roman"/>
      <w:sz w:val="20"/>
      <w:szCs w:val="20"/>
      <w:lang w:val="en-GB" w:eastAsia="zh-CN"/>
    </w:rPr>
  </w:style>
  <w:style w:type="paragraph" w:customStyle="1" w:styleId="38">
    <w:name w:val="B1"/>
    <w:basedOn w:val="17"/>
    <w:link w:val="40"/>
    <w:qFormat/>
    <w:uiPriority w:val="0"/>
    <w:pPr>
      <w:spacing w:after="180"/>
      <w:ind w:left="568" w:hanging="284"/>
      <w:contextualSpacing w:val="0"/>
      <w:jc w:val="left"/>
    </w:pPr>
    <w:rPr>
      <w:lang w:eastAsia="en-US"/>
    </w:rPr>
  </w:style>
  <w:style w:type="paragraph" w:styleId="39">
    <w:name w:val="List Paragraph"/>
    <w:basedOn w:val="1"/>
    <w:link w:val="50"/>
    <w:qFormat/>
    <w:uiPriority w:val="34"/>
    <w:pPr>
      <w:ind w:left="720"/>
      <w:contextualSpacing/>
    </w:pPr>
  </w:style>
  <w:style w:type="character" w:customStyle="1" w:styleId="40">
    <w:name w:val="B1 Char1"/>
    <w:link w:val="38"/>
    <w:qFormat/>
    <w:uiPriority w:val="0"/>
    <w:rPr>
      <w:rFonts w:ascii="Arial" w:hAnsi="Arial" w:eastAsia="Times New Roman" w:cs="Times New Roman"/>
      <w:sz w:val="20"/>
      <w:szCs w:val="20"/>
      <w:lang w:val="en-GB"/>
    </w:rPr>
  </w:style>
  <w:style w:type="paragraph" w:customStyle="1" w:styleId="41">
    <w:name w:val="IvD Instructiontext"/>
    <w:basedOn w:val="12"/>
    <w:link w:val="42"/>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2">
    <w:name w:val="IvD Instructiontext Char"/>
    <w:link w:val="41"/>
    <w:qFormat/>
    <w:uiPriority w:val="99"/>
    <w:rPr>
      <w:rFonts w:ascii="Arial" w:hAnsi="Arial" w:eastAsia="Times New Roman" w:cs="Times New Roman"/>
      <w:i/>
      <w:color w:val="7F7F7F"/>
      <w:spacing w:val="2"/>
      <w:sz w:val="18"/>
      <w:szCs w:val="18"/>
      <w:lang w:val="en-US"/>
    </w:rPr>
  </w:style>
  <w:style w:type="paragraph" w:customStyle="1" w:styleId="43">
    <w:name w:val="IvD bodytext"/>
    <w:basedOn w:val="12"/>
    <w:link w:val="4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4">
    <w:name w:val="IvD bodytext Char"/>
    <w:link w:val="43"/>
    <w:qFormat/>
    <w:uiPriority w:val="0"/>
    <w:rPr>
      <w:rFonts w:ascii="Arial" w:hAnsi="Arial" w:eastAsia="Times New Roman" w:cs="Times New Roman"/>
      <w:spacing w:val="2"/>
      <w:sz w:val="20"/>
      <w:szCs w:val="20"/>
      <w:lang w:val="en-US"/>
    </w:rPr>
  </w:style>
  <w:style w:type="character" w:customStyle="1" w:styleId="45">
    <w:name w:val="页眉 字符"/>
    <w:basedOn w:val="22"/>
    <w:link w:val="16"/>
    <w:qFormat/>
    <w:uiPriority w:val="99"/>
    <w:rPr>
      <w:rFonts w:ascii="Arial" w:hAnsi="Arial" w:eastAsia="Times New Roman" w:cs="Times New Roman"/>
      <w:sz w:val="20"/>
      <w:szCs w:val="20"/>
      <w:lang w:val="en-GB" w:eastAsia="zh-CN"/>
    </w:rPr>
  </w:style>
  <w:style w:type="character" w:customStyle="1" w:styleId="46">
    <w:name w:val="正文文本 字符"/>
    <w:basedOn w:val="22"/>
    <w:link w:val="12"/>
    <w:semiHidden/>
    <w:qFormat/>
    <w:uiPriority w:val="99"/>
    <w:rPr>
      <w:rFonts w:ascii="Arial" w:hAnsi="Arial" w:eastAsia="Times New Roman" w:cs="Times New Roman"/>
      <w:sz w:val="20"/>
      <w:szCs w:val="20"/>
      <w:lang w:val="en-GB" w:eastAsia="zh-CN"/>
    </w:rPr>
  </w:style>
  <w:style w:type="character" w:customStyle="1" w:styleId="47">
    <w:name w:val="批注框文本 字符"/>
    <w:basedOn w:val="22"/>
    <w:link w:val="14"/>
    <w:semiHidden/>
    <w:qFormat/>
    <w:uiPriority w:val="99"/>
    <w:rPr>
      <w:rFonts w:ascii="Segoe UI" w:hAnsi="Segoe UI" w:eastAsia="Times New Roman" w:cs="Segoe UI"/>
      <w:sz w:val="18"/>
      <w:szCs w:val="18"/>
      <w:lang w:val="en-GB" w:eastAsia="zh-CN"/>
    </w:rPr>
  </w:style>
  <w:style w:type="character" w:customStyle="1" w:styleId="48">
    <w:name w:val="批注主题 字符"/>
    <w:basedOn w:val="37"/>
    <w:link w:val="19"/>
    <w:semiHidden/>
    <w:qFormat/>
    <w:uiPriority w:val="99"/>
    <w:rPr>
      <w:rFonts w:ascii="Arial" w:hAnsi="Arial" w:eastAsia="Times New Roman" w:cs="Times New Roman"/>
      <w:b/>
      <w:bCs/>
      <w:sz w:val="20"/>
      <w:szCs w:val="20"/>
      <w:lang w:val="en-GB" w:eastAsia="zh-CN"/>
    </w:rPr>
  </w:style>
  <w:style w:type="character" w:customStyle="1" w:styleId="49">
    <w:name w:val="B1 Char"/>
    <w:qFormat/>
    <w:locked/>
    <w:uiPriority w:val="0"/>
    <w:rPr>
      <w:lang w:val="en-GB" w:eastAsia="zh-CN"/>
    </w:rPr>
  </w:style>
  <w:style w:type="character" w:customStyle="1" w:styleId="50">
    <w:name w:val="列表段落 字符"/>
    <w:link w:val="39"/>
    <w:qFormat/>
    <w:locked/>
    <w:uiPriority w:val="34"/>
    <w:rPr>
      <w:rFonts w:ascii="Arial" w:hAnsi="Arial" w:eastAsia="Times New Roman" w:cs="Times New Roman"/>
      <w:sz w:val="20"/>
      <w:szCs w:val="20"/>
      <w:lang w:val="en-GB" w:eastAsia="zh-CN"/>
    </w:rPr>
  </w:style>
  <w:style w:type="paragraph" w:customStyle="1" w:styleId="51">
    <w:name w:val="CR Cover Page"/>
    <w:link w:val="52"/>
    <w:qFormat/>
    <w:uiPriority w:val="0"/>
    <w:pPr>
      <w:spacing w:after="120"/>
    </w:pPr>
    <w:rPr>
      <w:rFonts w:ascii="Arial" w:hAnsi="Arial" w:cs="Times New Roman" w:eastAsiaTheme="minorEastAsia"/>
      <w:lang w:val="en-GB" w:eastAsia="en-US" w:bidi="ar-SA"/>
    </w:rPr>
  </w:style>
  <w:style w:type="character" w:customStyle="1" w:styleId="52">
    <w:name w:val="CR Cover Page Zchn"/>
    <w:link w:val="51"/>
    <w:qFormat/>
    <w:locked/>
    <w:uiPriority w:val="0"/>
    <w:rPr>
      <w:rFonts w:ascii="Arial" w:hAnsi="Arial" w:cs="Times New Roman" w:eastAsiaTheme="minorEastAsia"/>
      <w:sz w:val="20"/>
      <w:szCs w:val="20"/>
      <w:lang w:val="en-GB"/>
    </w:rPr>
  </w:style>
  <w:style w:type="character" w:customStyle="1" w:styleId="53">
    <w:name w:val="PL Char"/>
    <w:link w:val="54"/>
    <w:qFormat/>
    <w:uiPriority w:val="0"/>
    <w:rPr>
      <w:rFonts w:ascii="Courier New" w:hAnsi="Courier New"/>
      <w:sz w:val="16"/>
      <w:lang w:val="en-GB"/>
    </w:rPr>
  </w:style>
  <w:style w:type="paragraph" w:customStyle="1" w:styleId="54">
    <w:name w:val="PL"/>
    <w:link w:val="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5">
    <w:name w:val="TAL"/>
    <w:basedOn w:val="1"/>
    <w:link w:val="56"/>
    <w:qFormat/>
    <w:uiPriority w:val="0"/>
    <w:pPr>
      <w:keepNext/>
      <w:keepLines/>
      <w:spacing w:after="0"/>
      <w:jc w:val="left"/>
    </w:pPr>
    <w:rPr>
      <w:sz w:val="18"/>
      <w:lang w:val="zh-CN"/>
    </w:rPr>
  </w:style>
  <w:style w:type="character" w:customStyle="1" w:styleId="56">
    <w:name w:val="TAL Car"/>
    <w:link w:val="55"/>
    <w:qFormat/>
    <w:uiPriority w:val="0"/>
    <w:rPr>
      <w:rFonts w:ascii="Arial" w:hAnsi="Arial" w:eastAsia="Times New Roman" w:cs="Times New Roman"/>
      <w:sz w:val="18"/>
      <w:szCs w:val="20"/>
      <w:lang w:val="zh-CN" w:eastAsia="zh-CN"/>
    </w:rPr>
  </w:style>
  <w:style w:type="paragraph" w:customStyle="1" w:styleId="57">
    <w:name w:val="TAH"/>
    <w:basedOn w:val="1"/>
    <w:link w:val="58"/>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8">
    <w:name w:val="TAH Car"/>
    <w:link w:val="57"/>
    <w:qFormat/>
    <w:locked/>
    <w:uiPriority w:val="0"/>
    <w:rPr>
      <w:b/>
      <w:sz w:val="18"/>
      <w:lang w:val="en-US"/>
    </w:rPr>
  </w:style>
  <w:style w:type="character" w:customStyle="1" w:styleId="59">
    <w:name w:val="题注 字符"/>
    <w:basedOn w:val="22"/>
    <w:link w:val="11"/>
    <w:qFormat/>
    <w:uiPriority w:val="0"/>
    <w:rPr>
      <w:rFonts w:ascii="Arial" w:hAnsi="Arial" w:eastAsia="Times New Roman" w:cs="Times New Roman"/>
      <w:kern w:val="20"/>
      <w:sz w:val="20"/>
      <w:szCs w:val="20"/>
      <w:lang w:val="en-US"/>
    </w:rPr>
  </w:style>
  <w:style w:type="character" w:customStyle="1" w:styleId="60">
    <w:name w:val="TAL Char"/>
    <w:qFormat/>
    <w:uiPriority w:val="0"/>
    <w:rPr>
      <w:rFonts w:ascii="Arial" w:hAnsi="Arial"/>
      <w:sz w:val="18"/>
      <w:lang w:val="en-GB" w:eastAsia="en-US"/>
    </w:rPr>
  </w:style>
  <w:style w:type="character" w:customStyle="1" w:styleId="61">
    <w:name w:val="TAH Char"/>
    <w:qFormat/>
    <w:uiPriority w:val="0"/>
    <w:rPr>
      <w:rFonts w:ascii="Arial" w:hAnsi="Arial"/>
      <w:b/>
      <w:sz w:val="18"/>
      <w:lang w:val="en-GB" w:eastAsia="en-US"/>
    </w:rPr>
  </w:style>
  <w:style w:type="character" w:customStyle="1" w:styleId="62">
    <w:name w:val="WW8Num1z1"/>
    <w:qFormat/>
    <w:uiPriority w:val="0"/>
    <w:rPr>
      <w:rFonts w:hint="default" w:ascii="Courier New" w:hAnsi="Courier New" w:cs="Courier New"/>
    </w:rPr>
  </w:style>
  <w:style w:type="paragraph" w:customStyle="1" w:styleId="63">
    <w:name w:val="修订1"/>
    <w:hidden/>
    <w:semiHidden/>
    <w:qFormat/>
    <w:uiPriority w:val="99"/>
    <w:rPr>
      <w:rFonts w:ascii="Arial" w:hAnsi="Arial" w:eastAsia="Times New Roman" w:cs="Times New Roman"/>
      <w:lang w:val="en-GB" w:eastAsia="zh-CN" w:bidi="ar-SA"/>
    </w:rPr>
  </w:style>
  <w:style w:type="paragraph" w:customStyle="1" w:styleId="64">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5">
    <w:name w:val="TAC"/>
    <w:basedOn w:val="55"/>
    <w:link w:val="66"/>
    <w:qFormat/>
    <w:uiPriority w:val="0"/>
    <w:pPr>
      <w:jc w:val="center"/>
    </w:pPr>
    <w:rPr>
      <w:lang w:val="en-GB" w:eastAsia="en-GB"/>
    </w:rPr>
  </w:style>
  <w:style w:type="character" w:customStyle="1" w:styleId="66">
    <w:name w:val="TAC Char"/>
    <w:basedOn w:val="60"/>
    <w:link w:val="65"/>
    <w:qFormat/>
    <w:locked/>
    <w:uiPriority w:val="0"/>
    <w:rPr>
      <w:rFonts w:ascii="Arial" w:hAnsi="Arial" w:eastAsia="Times New Roman" w:cs="Times New Roman"/>
      <w:sz w:val="18"/>
      <w:szCs w:val="20"/>
      <w:lang w:val="en-GB" w:eastAsia="en-GB"/>
    </w:rPr>
  </w:style>
  <w:style w:type="paragraph" w:customStyle="1" w:styleId="67">
    <w:name w:val="TF"/>
    <w:basedOn w:val="68"/>
    <w:link w:val="69"/>
    <w:qFormat/>
    <w:uiPriority w:val="0"/>
    <w:pPr>
      <w:overflowPunct/>
      <w:autoSpaceDE/>
      <w:autoSpaceDN/>
      <w:adjustRightInd/>
      <w:spacing w:after="240"/>
      <w:textAlignment w:val="auto"/>
    </w:pPr>
    <w:rPr>
      <w:rFonts w:eastAsia="宋体"/>
      <w:lang w:eastAsia="en-US"/>
    </w:rPr>
  </w:style>
  <w:style w:type="paragraph" w:customStyle="1" w:styleId="68">
    <w:name w:val="TH"/>
    <w:basedOn w:val="1"/>
    <w:qFormat/>
    <w:uiPriority w:val="0"/>
    <w:pPr>
      <w:keepNext/>
      <w:keepLines/>
      <w:spacing w:before="60"/>
      <w:jc w:val="center"/>
    </w:pPr>
    <w:rPr>
      <w:rFonts w:eastAsia="MS Mincho"/>
      <w:b/>
    </w:rPr>
  </w:style>
  <w:style w:type="character" w:customStyle="1" w:styleId="69">
    <w:name w:val="TF Char"/>
    <w:link w:val="67"/>
    <w:qFormat/>
    <w:uiPriority w:val="0"/>
    <w:rPr>
      <w:rFonts w:ascii="Arial" w:hAnsi="Arial" w:eastAsia="宋体" w:cs="Times New Roman"/>
      <w:b/>
      <w:sz w:val="20"/>
      <w:szCs w:val="20"/>
      <w:lang w:val="en-GB"/>
    </w:rPr>
  </w:style>
  <w:style w:type="paragraph" w:customStyle="1" w:styleId="70">
    <w:name w:val="Proposal"/>
    <w:basedOn w:val="12"/>
    <w:qFormat/>
    <w:uiPriority w:val="0"/>
    <w:pPr>
      <w:numPr>
        <w:ilvl w:val="0"/>
        <w:numId w:val="3"/>
      </w:numPr>
      <w:tabs>
        <w:tab w:val="left" w:pos="1701"/>
      </w:tabs>
    </w:pPr>
    <w:rPr>
      <w:b/>
      <w:bCs/>
    </w:rPr>
  </w:style>
  <w:style w:type="paragraph" w:customStyle="1" w:styleId="71">
    <w:name w:val="Observation"/>
    <w:basedOn w:val="70"/>
    <w:qFormat/>
    <w:uiPriority w:val="0"/>
    <w:pPr>
      <w:numPr>
        <w:ilvl w:val="0"/>
        <w:numId w:val="4"/>
      </w:numPr>
    </w:pPr>
    <w:rPr>
      <w:lang w:eastAsia="ja-JP"/>
    </w:rPr>
  </w:style>
  <w:style w:type="paragraph" w:customStyle="1" w:styleId="72">
    <w:name w:val="Norml"/>
    <w:basedOn w:val="70"/>
    <w:qFormat/>
    <w:uiPriority w:val="0"/>
  </w:style>
  <w:style w:type="character" w:customStyle="1" w:styleId="73">
    <w:name w:val="未处理的提及1"/>
    <w:basedOn w:val="22"/>
    <w:unhideWhenUsed/>
    <w:qFormat/>
    <w:uiPriority w:val="99"/>
    <w:rPr>
      <w:color w:val="605E5C"/>
      <w:shd w:val="clear" w:color="auto" w:fill="E1DFDD"/>
    </w:rPr>
  </w:style>
  <w:style w:type="character" w:customStyle="1" w:styleId="74">
    <w:name w:val="@他1"/>
    <w:basedOn w:val="22"/>
    <w:unhideWhenUsed/>
    <w:qFormat/>
    <w:uiPriority w:val="99"/>
    <w:rPr>
      <w:color w:val="2B579A"/>
      <w:shd w:val="clear" w:color="auto" w:fill="E1DFDD"/>
    </w:rPr>
  </w:style>
  <w:style w:type="paragraph" w:customStyle="1" w:styleId="75">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76">
    <w:name w:val="正文1"/>
    <w:qFormat/>
    <w:uiPriority w:val="0"/>
    <w:pPr>
      <w:spacing w:before="100" w:beforeAutospacing="1" w:after="120"/>
    </w:pPr>
    <w:rPr>
      <w:rFonts w:ascii="Times New Roman" w:hAnsi="Times New Roman" w:eastAsia="MS Mincho" w:cs="Times New Roman"/>
      <w:sz w:val="22"/>
      <w:szCs w:val="22"/>
      <w:lang w:val="en-US" w:eastAsia="ko-KR" w:bidi="ar-SA"/>
    </w:rPr>
  </w:style>
  <w:style w:type="paragraph" w:styleId="77">
    <w:name w:val="No Spacing"/>
    <w:qFormat/>
    <w:uiPriority w:val="99"/>
    <w:pPr>
      <w:spacing w:after="160" w:line="259" w:lineRule="auto"/>
    </w:pPr>
    <w:rPr>
      <w:rFonts w:ascii="Calibri" w:hAnsi="Calibri" w:eastAsia="宋体" w:cs="Times New Roman"/>
      <w:sz w:val="22"/>
      <w:szCs w:val="22"/>
      <w:lang w:val="en-US" w:eastAsia="zh-CN" w:bidi="ar-SA"/>
    </w:rPr>
  </w:style>
  <w:style w:type="character" w:customStyle="1" w:styleId="78">
    <w:name w:val="首标题"/>
    <w:qFormat/>
    <w:uiPriority w:val="0"/>
    <w:rPr>
      <w:rFonts w:ascii="Arial" w:hAnsi="Arial" w:eastAsia="宋体"/>
      <w:sz w:val="24"/>
      <w:lang w:val="en-US" w:eastAsia="zh-CN" w:bidi="ar-SA"/>
    </w:rPr>
  </w:style>
  <w:style w:type="paragraph" w:customStyle="1" w:styleId="79">
    <w:name w:val="Revision"/>
    <w:hidden/>
    <w:semiHidden/>
    <w:qFormat/>
    <w:uiPriority w:val="99"/>
    <w:rPr>
      <w:rFonts w:ascii="Arial" w:hAnsi="Arial" w:eastAsia="Times New Roman" w:cs="Times New Roman"/>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Props1.xml><?xml version="1.0" encoding="utf-8"?>
<ds:datastoreItem xmlns:ds="http://schemas.openxmlformats.org/officeDocument/2006/customXml" ds:itemID="{47B6C18C-1520-4B3B-B15B-8E3929AD4F96}">
  <ds:schemaRefs/>
</ds:datastoreItem>
</file>

<file path=customXml/itemProps2.xml><?xml version="1.0" encoding="utf-8"?>
<ds:datastoreItem xmlns:ds="http://schemas.openxmlformats.org/officeDocument/2006/customXml" ds:itemID="{FB6DDB7C-9959-4AEC-AA49-498A6EC77218}">
  <ds:schemaRefs/>
</ds:datastoreItem>
</file>

<file path=customXml/itemProps3.xml><?xml version="1.0" encoding="utf-8"?>
<ds:datastoreItem xmlns:ds="http://schemas.openxmlformats.org/officeDocument/2006/customXml" ds:itemID="{4C4EBDAD-F25C-4923-B5F8-0F15B0BFAADC}">
  <ds:schemaRefs/>
</ds:datastoreItem>
</file>

<file path=customXml/itemProps4.xml><?xml version="1.0" encoding="utf-8"?>
<ds:datastoreItem xmlns:ds="http://schemas.openxmlformats.org/officeDocument/2006/customXml" ds:itemID="{7957D943-A877-475D-BA92-1F9DEC590F82}">
  <ds:schemaRefs/>
</ds:datastoreItem>
</file>

<file path=customXml/itemProps5.xml><?xml version="1.0" encoding="utf-8"?>
<ds:datastoreItem xmlns:ds="http://schemas.openxmlformats.org/officeDocument/2006/customXml" ds:itemID="{AB067330-89E3-4362-9022-7EE22BBAB73C}">
  <ds:schemaRefs/>
</ds:datastoreItem>
</file>

<file path=customXml/itemProps6.xml><?xml version="1.0" encoding="utf-8"?>
<ds:datastoreItem xmlns:ds="http://schemas.openxmlformats.org/officeDocument/2006/customXml" ds:itemID="{AFD3527F-078C-46FF-917C-D402B9DBDD85}">
  <ds:schemaRefs/>
</ds:datastoreItem>
</file>

<file path=docProps/app.xml><?xml version="1.0" encoding="utf-8"?>
<Properties xmlns="http://schemas.openxmlformats.org/officeDocument/2006/extended-properties" xmlns:vt="http://schemas.openxmlformats.org/officeDocument/2006/docPropsVTypes">
  <Template>Normal</Template>
  <Pages>3</Pages>
  <Words>1402</Words>
  <Characters>7995</Characters>
  <Lines>66</Lines>
  <Paragraphs>18</Paragraphs>
  <TotalTime>0</TotalTime>
  <ScaleCrop>false</ScaleCrop>
  <LinksUpToDate>false</LinksUpToDate>
  <CharactersWithSpaces>9379</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2023-02-17T01:24:00Z</dcterms:created>
  <dc:creator>Ericsson User</dc:creator>
  <cp:lastModifiedBy>Author</cp:lastModifiedBy>
  <dcterms:modified xsi:type="dcterms:W3CDTF">2023-04-07T06:28:12Z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2052-11.8.2.11824</vt:lpwstr>
  </property>
  <property fmtid="{D5CDD505-2E9C-101B-9397-08002B2CF9AE}" pid="20" name="ICV">
    <vt:lpwstr>6D0D09204F7C40F18608E6566A42E21B</vt:lpwstr>
  </property>
</Properties>
</file>